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charts/chart1.xml" ContentType="application/vnd.openxmlformats-officedocument.drawingml.chart+xml"/>
  <Override PartName="/drs/charts/colors1.xml" ContentType="application/vnd.ms-office.chartcolorstyle+xml"/>
  <Override PartName="/drs/charts/style1.xml" ContentType="application/vnd.ms-office.chartstyle+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chart" Target="charts/chart1.xml"/></Relationships>
</file>

<file path=drs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drs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rgbClr val="404040">
                            <a:lumMod val="75000"/>
                            <a:lumOff val="25000"/>
                          </a:srgb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50825</a:t>
                    </a:r>
                    <a:endParaRPr lang="en-US" altLang="zh-CN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Sheet1!$B$16:$L$16</c:f>
              <c:numCache>
                <c:formatCode>General</c:formatCode>
                <c:ptCount val="11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  <c:pt idx="8">
                  <c:v>2028</c:v>
                </c:pt>
                <c:pt idx="9">
                  <c:v>2029</c:v>
                </c:pt>
                <c:pt idx="10">
                  <c:v>2030</c:v>
                </c:pt>
              </c:numCache>
            </c:numRef>
          </c:cat>
          <c:val>
            <c:numRef>
              <c:f>Sheet1!$B$17:$L$17</c:f>
              <c:numCache>
                <c:formatCode>General</c:formatCode>
                <c:ptCount val="11"/>
                <c:pt idx="0">
                  <c:v>50824</c:v>
                </c:pt>
                <c:pt idx="1">
                  <c:v>53406</c:v>
                </c:pt>
                <c:pt idx="2">
                  <c:v>56109</c:v>
                </c:pt>
                <c:pt idx="3">
                  <c:v>58927</c:v>
                </c:pt>
                <c:pt idx="4">
                  <c:v>61866</c:v>
                </c:pt>
                <c:pt idx="5">
                  <c:v>64938</c:v>
                </c:pt>
                <c:pt idx="6">
                  <c:v>68145</c:v>
                </c:pt>
                <c:pt idx="7">
                  <c:v>71506</c:v>
                </c:pt>
                <c:pt idx="8">
                  <c:v>75036</c:v>
                </c:pt>
                <c:pt idx="9">
                  <c:v>78753</c:v>
                </c:pt>
                <c:pt idx="10">
                  <c:v>82674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43453776"/>
        <c:axId val="-1443470640"/>
      </c:barChart>
      <c:catAx>
        <c:axId val="-144345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-1443470640"/>
        <c:crosses val="autoZero"/>
        <c:auto val="1"/>
        <c:lblAlgn val="ctr"/>
        <c:lblOffset val="100"/>
        <c:noMultiLvlLbl val="0"/>
      </c:catAx>
      <c:valAx>
        <c:axId val="-144347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-144345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drs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drs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drs/downrev.xml><?xml version="1.0" encoding="utf-8"?>
<a:downRevStg xmlns:a="http://schemas.openxmlformats.org/drawingml/2006/main" shapeCheckSum="Penw0JbamrA12uKcwsYx3M==&#10;" textCheckSum="" ver="1">
  <a:bounds l="-7" t="-7" r="7223" b="4343"/>
</a:downRevStg>
</file>

<file path=drs/e2oDoc.xml><?xml version="1.0" encoding="utf-8"?>
<wp:e2oholder xmlns:wp="http://schemas.openxmlformats.org/drawingml/2006/wordprocessingDrawing">
  <wp:effectOffset l="4445" t="4445" r="14605" b="14605"/>
  <a:graphic xmlns:a="http://schemas.openxmlformats.org/drawingml/2006/main">
    <a:graphicData uri="http://schemas.openxmlformats.org/drawingml/2006/chart">
      <c:chart xmlns:c="http://schemas.openxmlformats.org/drawingml/2006/chart" xmlns:r="http://schemas.openxmlformats.org/officeDocument/2006/relationships" r:id="rId1"/>
    </a:graphicData>
  </a:graphic>
</wp:e2oholder>
</file>